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976A6D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14:paraId="48DAA8F8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</w:t>
      </w:r>
    </w:p>
    <w:p w14:paraId="079115F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сбора замечаний и предложений организаций и граждан в рамках </w:t>
      </w:r>
    </w:p>
    <w:p w14:paraId="6404D02A" w14:textId="77777777" w:rsidR="00931571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анализа проекта муниципального нормативного правового </w:t>
      </w:r>
    </w:p>
    <w:p w14:paraId="27B2CBE0" w14:textId="77777777" w:rsidR="00931571" w:rsidRPr="00AA3C40" w:rsidRDefault="00931571" w:rsidP="00931571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акта на предмет его влияния на конкуренцию</w:t>
      </w:r>
    </w:p>
    <w:p w14:paraId="11442A71" w14:textId="77777777" w:rsidR="00931571" w:rsidRPr="00AA3C40" w:rsidRDefault="00931571" w:rsidP="00931571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14:paraId="7F1CF143" w14:textId="77777777" w:rsidR="00417096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1. </w:t>
      </w: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6091"/>
        <w:gridCol w:w="3656"/>
      </w:tblGrid>
      <w:tr w:rsidR="00931571" w14:paraId="44396CB5" w14:textId="77777777" w:rsidTr="0063110E">
        <w:tc>
          <w:tcPr>
            <w:tcW w:w="6091" w:type="dxa"/>
          </w:tcPr>
          <w:p w14:paraId="14608AB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Наименование хозяйствующего субъекта (организации)</w:t>
            </w:r>
          </w:p>
        </w:tc>
        <w:tc>
          <w:tcPr>
            <w:tcW w:w="3656" w:type="dxa"/>
          </w:tcPr>
          <w:p w14:paraId="56B6F748" w14:textId="77777777" w:rsidR="00931571" w:rsidRDefault="00AF3906" w:rsidP="00931571">
            <w:r>
              <w:t xml:space="preserve"> </w:t>
            </w:r>
          </w:p>
        </w:tc>
      </w:tr>
      <w:tr w:rsidR="00931571" w14:paraId="193DA3B1" w14:textId="77777777" w:rsidTr="0063110E">
        <w:tc>
          <w:tcPr>
            <w:tcW w:w="6091" w:type="dxa"/>
          </w:tcPr>
          <w:p w14:paraId="6A0C36A4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3656" w:type="dxa"/>
          </w:tcPr>
          <w:p w14:paraId="71991814" w14:textId="77777777" w:rsidR="00931571" w:rsidRDefault="00AF3906" w:rsidP="00931571">
            <w:r>
              <w:t xml:space="preserve"> </w:t>
            </w:r>
          </w:p>
        </w:tc>
      </w:tr>
      <w:tr w:rsidR="00931571" w14:paraId="6B334574" w14:textId="77777777" w:rsidTr="0063110E">
        <w:tc>
          <w:tcPr>
            <w:tcW w:w="6091" w:type="dxa"/>
          </w:tcPr>
          <w:p w14:paraId="6CBD6A7B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ИНН хозяйствующего субъекта (организации)</w:t>
            </w:r>
          </w:p>
        </w:tc>
        <w:tc>
          <w:tcPr>
            <w:tcW w:w="3656" w:type="dxa"/>
          </w:tcPr>
          <w:p w14:paraId="39AADED4" w14:textId="77777777" w:rsidR="00931571" w:rsidRDefault="00931571" w:rsidP="00AF3906"/>
        </w:tc>
      </w:tr>
      <w:tr w:rsidR="00931571" w14:paraId="1AE1ED3E" w14:textId="77777777" w:rsidTr="0063110E">
        <w:tc>
          <w:tcPr>
            <w:tcW w:w="6091" w:type="dxa"/>
          </w:tcPr>
          <w:p w14:paraId="28FC5633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ФИО участника публичных консультаций</w:t>
            </w:r>
          </w:p>
        </w:tc>
        <w:tc>
          <w:tcPr>
            <w:tcW w:w="3656" w:type="dxa"/>
          </w:tcPr>
          <w:p w14:paraId="73839B18" w14:textId="77777777" w:rsidR="00931571" w:rsidRDefault="00931571" w:rsidP="00931571"/>
        </w:tc>
      </w:tr>
      <w:tr w:rsidR="00931571" w14:paraId="58023563" w14:textId="77777777" w:rsidTr="0063110E">
        <w:tc>
          <w:tcPr>
            <w:tcW w:w="6091" w:type="dxa"/>
          </w:tcPr>
          <w:p w14:paraId="6857315F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Контактный телефон</w:t>
            </w:r>
          </w:p>
        </w:tc>
        <w:tc>
          <w:tcPr>
            <w:tcW w:w="3656" w:type="dxa"/>
          </w:tcPr>
          <w:p w14:paraId="740DFF25" w14:textId="77777777" w:rsidR="00931571" w:rsidRDefault="00931571" w:rsidP="00931571"/>
        </w:tc>
      </w:tr>
      <w:tr w:rsidR="00931571" w14:paraId="07C2A8F7" w14:textId="77777777" w:rsidTr="0063110E">
        <w:tc>
          <w:tcPr>
            <w:tcW w:w="6091" w:type="dxa"/>
          </w:tcPr>
          <w:p w14:paraId="67C6F60C" w14:textId="77777777" w:rsidR="00931571" w:rsidRPr="00931571" w:rsidRDefault="00931571" w:rsidP="00931571">
            <w:pPr>
              <w:rPr>
                <w:rFonts w:ascii="Times New Roman" w:hAnsi="Times New Roman" w:cs="Times New Roman"/>
              </w:rPr>
            </w:pPr>
            <w:r w:rsidRPr="00931571">
              <w:rPr>
                <w:rFonts w:ascii="Times New Roman" w:hAnsi="Times New Roman" w:cs="Times New Roman"/>
              </w:rPr>
              <w:t>Адрес электронной почты</w:t>
            </w:r>
          </w:p>
        </w:tc>
        <w:tc>
          <w:tcPr>
            <w:tcW w:w="3656" w:type="dxa"/>
          </w:tcPr>
          <w:p w14:paraId="56DA1774" w14:textId="77777777" w:rsidR="00931571" w:rsidRDefault="00931571" w:rsidP="00931571"/>
        </w:tc>
      </w:tr>
    </w:tbl>
    <w:p w14:paraId="51D8CDD1" w14:textId="77777777" w:rsidR="00931571" w:rsidRDefault="00931571" w:rsidP="00931571"/>
    <w:p w14:paraId="055CACB6" w14:textId="77777777" w:rsidR="00931571" w:rsidRDefault="00931571" w:rsidP="00931571">
      <w:pPr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Style w:val="a3"/>
        <w:tblW w:w="9782" w:type="dxa"/>
        <w:tblInd w:w="-34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9782"/>
      </w:tblGrid>
      <w:tr w:rsidR="00931571" w14:paraId="605ADBD3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5A772A" w14:textId="5AE488D5" w:rsidR="00A276C6" w:rsidRDefault="00931571" w:rsidP="00A276C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Проект постановления администрации 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B109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  <w:p w14:paraId="5C9A772C" w14:textId="78BF10B5" w:rsidR="00811274" w:rsidRPr="002D1666" w:rsidRDefault="00931571" w:rsidP="002D1666">
            <w:pPr>
              <w:tabs>
                <w:tab w:val="left" w:pos="709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7B6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D96AFF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</w:t>
            </w:r>
            <w:r w:rsidR="00E9475C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Порядка проведения общественных обсуждений проектов муниципальных правовых актов по определению границ прилегающих </w:t>
            </w:r>
            <w:r w:rsidR="00551445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территорий, на которых не допускается розничная продажа алкогольной продукции </w:t>
            </w:r>
            <w:r w:rsidR="003D78FA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оказании услуг общественного питания на территории Яковлевского муниципального округа Белгородской области</w:t>
            </w:r>
            <w:r w:rsidR="00CB70A5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3D78FA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о признании утратившим силу </w:t>
            </w:r>
            <w:r w:rsidR="00CB70A5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постановления администрации Яковлевского городского округа от 16 августа 2022года №425</w:t>
            </w:r>
            <w:r w:rsidR="004766CF" w:rsidRPr="006E7B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  <w:r w:rsidR="00811274" w:rsidRPr="002D166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14:paraId="2CDAC8EC" w14:textId="77777777" w:rsidR="00931571" w:rsidRDefault="00A117BF" w:rsidP="001A1613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31571" w14:paraId="3829EFC2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8B0228B" w14:textId="42B9BBCB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12EEEA4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DFC755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BABC5E1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29DD2C5" w14:textId="77D82761" w:rsidR="00931571" w:rsidRDefault="00E56117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931571" w14:paraId="78CE65DA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D31B62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3B434D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12641BA" w14:textId="4D69CDAA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Яковлевского </w:t>
            </w:r>
            <w:r w:rsidR="00FB432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="002C1F9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округа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 Укажите номер подпункта, пункта, части, статьи проекта муниципального нормативного правового акта и их содержание.</w:t>
            </w:r>
          </w:p>
        </w:tc>
      </w:tr>
      <w:tr w:rsidR="00931571" w14:paraId="3C559B4C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5C05C1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457A341C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B3398D0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 На каких рынках товаров, работ, услуг может ухудшиться состояние конкурентной среды в результате принятия муниципального нормативного правового акта?</w:t>
            </w:r>
          </w:p>
        </w:tc>
      </w:tr>
      <w:tr w:rsidR="00931571" w14:paraId="0AE1834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C2DFA1F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5A4F6EE7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770D8C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1571" w14:paraId="2668F45B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45E72DA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10F03E2E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37314C3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931571" w14:paraId="4867CF3E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8E2D2C" w14:textId="77777777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2CBDBAD5" w14:textId="77777777" w:rsidTr="004145E9">
        <w:tc>
          <w:tcPr>
            <w:tcW w:w="97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1866AD8" w14:textId="77777777" w:rsidR="00931571" w:rsidRPr="00E56117" w:rsidRDefault="00E56117" w:rsidP="0093157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7. Ваши замечания и предложения по проекту муниципального нормативного правового акта в целях учета требований антимонопольного законодательства:</w:t>
            </w:r>
          </w:p>
        </w:tc>
      </w:tr>
      <w:tr w:rsidR="00931571" w14:paraId="19360D23" w14:textId="77777777" w:rsidTr="004145E9">
        <w:tc>
          <w:tcPr>
            <w:tcW w:w="9782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05B55978" w14:textId="7E13A2A5" w:rsidR="00931571" w:rsidRDefault="00931571" w:rsidP="00931571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931571" w14:paraId="6DEC9158" w14:textId="77777777" w:rsidTr="004145E9">
        <w:tc>
          <w:tcPr>
            <w:tcW w:w="9782" w:type="dxa"/>
            <w:tcBorders>
              <w:left w:val="single" w:sz="12" w:space="0" w:color="auto"/>
            </w:tcBorders>
          </w:tcPr>
          <w:p w14:paraId="49A2C890" w14:textId="77777777" w:rsidR="009A621E" w:rsidRDefault="00E56117" w:rsidP="009A621E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5611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5611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F515C8" w14:textId="313566AF" w:rsidR="009A621E" w:rsidRPr="00054433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bookmarkStart w:id="0" w:name="_GoBack"/>
            <w:bookmarkEnd w:id="0"/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309070, Белгородская область, г.</w:t>
            </w:r>
            <w:r w:rsidR="005519CC"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A117BF"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Строитель, ул. Ленина, д.</w:t>
            </w:r>
            <w:r w:rsidR="00C72B68"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16</w:t>
            </w:r>
          </w:p>
          <w:p w14:paraId="4951487C" w14:textId="225EE346" w:rsidR="009A621E" w:rsidRPr="00C915D8" w:rsidRDefault="009A621E" w:rsidP="009A621E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proofErr w:type="gramStart"/>
            <w:r w:rsidRPr="00054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End"/>
            <w:r w:rsidRPr="00054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также по адресу электронной почты:</w:t>
            </w:r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A117BF" w:rsidRPr="0005443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C72B68" w:rsidRPr="00054433">
              <w:rPr>
                <w:lang w:val="en-US"/>
              </w:rPr>
              <w:t>dudarevaSO</w:t>
            </w:r>
            <w:proofErr w:type="spellEnd"/>
            <w:r w:rsidR="00C72B68" w:rsidRPr="00054433">
              <w:t>@</w:t>
            </w:r>
            <w:proofErr w:type="spellStart"/>
            <w:r w:rsidR="00C72B68" w:rsidRPr="00054433">
              <w:rPr>
                <w:lang w:val="en-US"/>
              </w:rPr>
              <w:t>yandex</w:t>
            </w:r>
            <w:proofErr w:type="spellEnd"/>
            <w:r w:rsidR="00C72B68" w:rsidRPr="00054433">
              <w:t>.</w:t>
            </w:r>
            <w:proofErr w:type="spellStart"/>
            <w:r w:rsidR="00C72B68" w:rsidRPr="00054433">
              <w:rPr>
                <w:lang w:val="en-US"/>
              </w:rPr>
              <w:t>ru</w:t>
            </w:r>
            <w:proofErr w:type="spellEnd"/>
            <w:r w:rsidR="00C72B68" w:rsidRPr="00054433">
              <w:t xml:space="preserve"> </w:t>
            </w:r>
            <w:hyperlink r:id="rId4" w:history="1"/>
          </w:p>
          <w:p w14:paraId="4E56AB0B" w14:textId="3784937C" w:rsidR="00931571" w:rsidRDefault="009A621E" w:rsidP="001A1613">
            <w:pP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приема предложений и 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</w:t>
            </w:r>
            <w:r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6E7B68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11.09</w:t>
            </w:r>
            <w:r w:rsidR="004766CF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4145E9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по </w:t>
            </w:r>
            <w:r w:rsidR="006E7B68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  <w:r w:rsidR="00BA699B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.2025</w:t>
            </w:r>
            <w:r w:rsidR="00975A57"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E7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  <w:r w:rsidRPr="00975A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2790E0B2" w14:textId="77777777" w:rsidR="00931571" w:rsidRDefault="00931571" w:rsidP="00FB4329"/>
    <w:sectPr w:rsidR="00931571" w:rsidSect="00FB432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A43"/>
    <w:rsid w:val="00054433"/>
    <w:rsid w:val="001A1613"/>
    <w:rsid w:val="001C6F80"/>
    <w:rsid w:val="002C1F95"/>
    <w:rsid w:val="002D1666"/>
    <w:rsid w:val="003A24AD"/>
    <w:rsid w:val="003B109B"/>
    <w:rsid w:val="003D78FA"/>
    <w:rsid w:val="004145E9"/>
    <w:rsid w:val="00417096"/>
    <w:rsid w:val="004565ED"/>
    <w:rsid w:val="004766CF"/>
    <w:rsid w:val="00551445"/>
    <w:rsid w:val="005519CC"/>
    <w:rsid w:val="0063110E"/>
    <w:rsid w:val="00633AFF"/>
    <w:rsid w:val="00656C52"/>
    <w:rsid w:val="00691D90"/>
    <w:rsid w:val="00694A43"/>
    <w:rsid w:val="006E7B68"/>
    <w:rsid w:val="00751548"/>
    <w:rsid w:val="00811274"/>
    <w:rsid w:val="009102BA"/>
    <w:rsid w:val="00925ECE"/>
    <w:rsid w:val="00931571"/>
    <w:rsid w:val="00963E9E"/>
    <w:rsid w:val="00975A57"/>
    <w:rsid w:val="009A621E"/>
    <w:rsid w:val="00A01AE7"/>
    <w:rsid w:val="00A01B3E"/>
    <w:rsid w:val="00A117BF"/>
    <w:rsid w:val="00A276C6"/>
    <w:rsid w:val="00AF3906"/>
    <w:rsid w:val="00B526CE"/>
    <w:rsid w:val="00BA699B"/>
    <w:rsid w:val="00BD39FB"/>
    <w:rsid w:val="00BF11C9"/>
    <w:rsid w:val="00C23718"/>
    <w:rsid w:val="00C72B68"/>
    <w:rsid w:val="00CB70A5"/>
    <w:rsid w:val="00D855DD"/>
    <w:rsid w:val="00D96AFF"/>
    <w:rsid w:val="00E56117"/>
    <w:rsid w:val="00E9475C"/>
    <w:rsid w:val="00E96AE1"/>
    <w:rsid w:val="00E97673"/>
    <w:rsid w:val="00EE4309"/>
    <w:rsid w:val="00FB4329"/>
    <w:rsid w:val="00FE10A8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2E105"/>
  <w15:docId w15:val="{0130824C-8B1C-44B7-9DDE-67E39E77F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571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15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A621E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117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7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kov@al.bel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391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Позднякова Татьяна Анатольевна</dc:creator>
  <cp:keywords/>
  <dc:description/>
  <cp:lastModifiedBy>User</cp:lastModifiedBy>
  <cp:revision>12</cp:revision>
  <cp:lastPrinted>2024-07-03T06:56:00Z</cp:lastPrinted>
  <dcterms:created xsi:type="dcterms:W3CDTF">2024-10-03T08:09:00Z</dcterms:created>
  <dcterms:modified xsi:type="dcterms:W3CDTF">2026-02-04T08:05:00Z</dcterms:modified>
</cp:coreProperties>
</file>